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A0411-25B4-49E5-AC4B-B367A43F38BC}"/>
</file>

<file path=customXml/itemProps2.xml><?xml version="1.0" encoding="utf-8"?>
<ds:datastoreItem xmlns:ds="http://schemas.openxmlformats.org/officeDocument/2006/customXml" ds:itemID="{7AD79B84-6FF2-444E-B02B-50960301074D}"/>
</file>

<file path=customXml/itemProps3.xml><?xml version="1.0" encoding="utf-8"?>
<ds:datastoreItem xmlns:ds="http://schemas.openxmlformats.org/officeDocument/2006/customXml" ds:itemID="{BBBD4D11-0373-4DDB-A279-28D90549EC60}"/>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